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0"/>
      </w:pPr>
    </w:p>
    <w:p>
      <w:pPr>
        <w:spacing w:after="80"/>
        <w:jc w:val="center"/>
      </w:pPr>
      <w:r>
        <w:rPr>
          <w:rFonts w:ascii="Arial" w:cs="Arial" w:eastAsia="Arial" w:hAnsi="Arial"/>
          <w:b/>
          <w:bCs/>
          <w:color w:val="0A1628"/>
          <w:spacing w:val="300"/>
          <w:sz w:val="52"/>
          <w:szCs w:val="52"/>
        </w:rPr>
        <w:t xml:space="preserve">DOMINION STATE</w:t>
      </w:r>
    </w:p>
    <w:p>
      <w:pPr>
        <w:spacing w:after="200"/>
        <w:jc w:val="center"/>
      </w:pPr>
      <w:r>
        <w:rPr>
          <w:rFonts w:ascii="Arial" w:cs="Arial" w:eastAsia="Arial" w:hAnsi="Arial"/>
          <w:color w:val="C9A84C"/>
          <w:sz w:val="36"/>
          <w:szCs w:val="36"/>
        </w:rPr>
        <w:t xml:space="preserve">--</w:t>
      </w:r>
    </w:p>
    <w:p>
      <w:pPr>
        <w:spacing w:after="120"/>
        <w:jc w:val="center"/>
      </w:pPr>
      <w:r>
        <w:rPr>
          <w:rFonts w:ascii="Arial" w:cs="Arial" w:eastAsia="Arial" w:hAnsi="Arial"/>
          <w:b/>
          <w:bCs/>
          <w:color w:val="0A1628"/>
          <w:sz w:val="36"/>
          <w:szCs w:val="36"/>
        </w:rPr>
        <w:t xml:space="preserve">REBUTTAL OF PRESUMPTIONS</w:t>
      </w:r>
    </w:p>
    <w:p>
      <w:pPr>
        <w:spacing w:after="600"/>
        <w:jc w:val="center"/>
      </w:pPr>
      <w:r>
        <w:rPr>
          <w:rFonts w:ascii="Arial" w:cs="Arial" w:eastAsia="Arial" w:hAnsi="Arial"/>
          <w:i/>
          <w:iCs/>
          <w:color w:val="6B7280"/>
          <w:sz w:val="24"/>
          <w:szCs w:val="24"/>
        </w:rPr>
        <w:t xml:space="preserve">Constructive Notice to All Parties Claiming Authority by Presumption Over the Living</w:t>
      </w:r>
    </w:p>
    <w:p>
      <w:pPr>
        <w:pBdr>
          <w:bottom w:val="single" w:color="C9A84C" w:sz="3" w:space="1"/>
        </w:pBdr>
        <w:spacing w:before="300" w:after="300"/>
      </w:pPr>
    </w:p>
    <w:p>
      <w:pPr>
        <w:spacing w:after="100"/>
        <w:jc w:val="center"/>
      </w:pPr>
      <w:r>
        <w:rPr>
          <w:rFonts w:ascii="Arial" w:cs="Arial" w:eastAsia="Arial" w:hAnsi="Arial"/>
          <w:color w:val="6B7280"/>
          <w:sz w:val="20"/>
          <w:szCs w:val="20"/>
        </w:rPr>
        <w:t xml:space="preserve">The Crucifixion of the Old Covenant  •  Good Friday 2026</w:t>
      </w:r>
    </w:p>
    <w:p>
      <w:pPr>
        <w:spacing w:after="100"/>
        <w:jc w:val="center"/>
      </w:pPr>
      <w:r>
        <w:rPr>
          <w:rFonts w:ascii="Arial" w:cs="Arial" w:eastAsia="Arial" w:hAnsi="Arial"/>
          <w:i/>
          <w:iCs/>
          <w:color w:val="C9A84C"/>
          <w:sz w:val="20"/>
          <w:szCs w:val="20"/>
        </w:rPr>
        <w:t xml:space="preserve">The Death of the First Birth by Water</w:t>
      </w:r>
    </w:p>
    <w:p>
      <w:pPr>
        <w:spacing w:after="60"/>
        <w:jc w:val="center"/>
      </w:pPr>
      <w:r>
        <w:rPr>
          <w:rFonts w:ascii="Arial" w:cs="Arial" w:eastAsia="Arial" w:hAnsi="Arial"/>
          <w:i/>
          <w:iCs/>
          <w:color w:val="6B7280"/>
          <w:sz w:val="18"/>
          <w:szCs w:val="18"/>
        </w:rPr>
        <w:t xml:space="preserve">Exit from the baptismal registry of the flesh</w:t>
      </w:r>
    </w:p>
    <w:p>
      <w:pPr>
        <w:spacing w:after="60"/>
        <w:jc w:val="center"/>
      </w:pPr>
      <w:r>
        <w:rPr>
          <w:rFonts w:ascii="Arial" w:cs="Arial" w:eastAsia="Arial" w:hAnsi="Arial"/>
          <w:i/>
          <w:iCs/>
          <w:color w:val="6B7280"/>
          <w:sz w:val="18"/>
          <w:szCs w:val="18"/>
        </w:rPr>
        <w:t xml:space="preserve">and all temporal jurisdictions derived therefrom</w:t>
      </w:r>
    </w:p>
    <w:p>
      <w:pPr>
        <w:spacing w:after="100"/>
        <w:jc w:val="center"/>
      </w:pPr>
      <w:r>
        <w:rPr>
          <w:rFonts w:ascii="Arial" w:cs="Arial" w:eastAsia="Arial" w:hAnsi="Arial"/>
          <w:color w:val="6B7280"/>
          <w:sz w:val="18"/>
          <w:szCs w:val="18"/>
        </w:rPr>
        <w:t xml:space="preserve">In preparation for the Second Birth by the Spirit  •  Easter Sunday 2026</w:t>
      </w:r>
    </w:p>
    <w:p>
      <w:pPr>
        <w:spacing w:after="100"/>
        <w:jc w:val="center"/>
      </w:pPr>
      <w:r>
        <w:rPr>
          <w:rFonts w:ascii="Arial" w:cs="Arial" w:eastAsia="Arial" w:hAnsi="Arial"/>
          <w:color w:val="6B7280"/>
          <w:sz w:val="20"/>
          <w:szCs w:val="20"/>
        </w:rPr>
        <w:t xml:space="preserve">Published by the Founding Stewards of Dominion State</w:t>
      </w:r>
    </w:p>
    <w:p>
      <w:pPr>
        <w:jc w:val="center"/>
      </w:pPr>
      <w:r>
        <w:rPr>
          <w:rFonts w:ascii="Arial" w:cs="Arial" w:eastAsia="Arial" w:hAnsi="Arial"/>
          <w:color w:val="C9A84C"/>
          <w:sz w:val="20"/>
          <w:szCs w:val="20"/>
        </w:rPr>
        <w:t xml:space="preserve">dominionstate.com</w:t>
      </w:r>
    </w:p>
    <w:p>
      <w:r>
        <w:br w:type="page"/>
      </w:r>
    </w:p>
    <w:p>
      <w:pPr>
        <w:pStyle w:val="Heading1"/>
        <w:spacing w:before="480" w:after="240"/>
      </w:pPr>
      <w:r>
        <w:rPr>
          <w:rFonts w:ascii="Arial" w:cs="Arial" w:eastAsia="Arial" w:hAnsi="Arial"/>
          <w:b/>
          <w:bCs/>
          <w:color w:val="0A1628"/>
          <w:sz w:val="32"/>
          <w:szCs w:val="32"/>
        </w:rPr>
        <w:t xml:space="preserve">RECITAL</w:t>
      </w:r>
    </w:p>
    <w:p>
      <w:pPr>
        <w:spacing w:after="200" w:line="312"/>
      </w:pPr>
      <w:r>
        <w:rPr>
          <w:rFonts w:ascii="Arial" w:cs="Arial" w:eastAsia="Arial" w:hAnsi="Arial"/>
          <w:color w:val="1F2937"/>
          <w:sz w:val="22"/>
          <w:szCs w:val="22"/>
        </w:rPr>
        <w:t xml:space="preserve">WHEREAS the Roman Catholic Church, from the Council of Trent (1545-1563), instituted the baptismal registry as the first systematic record of persons under ecclesiastical jurisdiction, creating a chain of registered souls claimed by the Church from birth, and this model was subsequently adopted by civil authorities as the basis for the birth certificate, the citizen registry, and the national identification systems that presume jurisdiction over the living from the moment of their first registration;</w:t>
      </w:r>
    </w:p>
    <w:p>
      <w:pPr>
        <w:spacing w:after="200" w:line="312"/>
      </w:pPr>
      <w:r>
        <w:rPr>
          <w:rFonts w:ascii="Arial" w:cs="Arial" w:eastAsia="Arial" w:hAnsi="Arial"/>
          <w:color w:val="1F2937"/>
          <w:sz w:val="22"/>
          <w:szCs w:val="22"/>
        </w:rPr>
        <w:t xml:space="preserve">AND WHEREAS these systems of registration constitute the first birth -- the birth by water, the birth of the flesh -- which creates a legal person subject to the temporal and spiritual jurisdictions that administer the registry;</w:t>
      </w:r>
    </w:p>
    <w:p>
      <w:pPr>
        <w:spacing w:after="200" w:line="312"/>
      </w:pPr>
      <w:r>
        <w:rPr>
          <w:rFonts w:ascii="Arial" w:cs="Arial" w:eastAsia="Arial" w:hAnsi="Arial"/>
          <w:color w:val="1F2937"/>
          <w:sz w:val="22"/>
          <w:szCs w:val="22"/>
        </w:rPr>
        <w:t xml:space="preserve">AND WHEREAS certain systems of temporal and spiritual authority operate upon presumptions that have not been rebutted by the persons to whom they are applied;</w:t>
      </w:r>
    </w:p>
    <w:p>
      <w:pPr>
        <w:spacing w:after="200" w:line="312"/>
      </w:pPr>
      <w:r>
        <w:rPr>
          <w:rFonts w:ascii="Arial" w:cs="Arial" w:eastAsia="Arial" w:hAnsi="Arial"/>
          <w:color w:val="1F2937"/>
          <w:sz w:val="22"/>
          <w:szCs w:val="22"/>
        </w:rPr>
        <w:t xml:space="preserve">AND WHEREAS these presumptions, standing unrebutted, have been treated as the basis of jurisdiction over the person, the estate, the soul, and the economic participation of the living;</w:t>
      </w:r>
    </w:p>
    <w:p>
      <w:pPr>
        <w:spacing w:after="200" w:line="312"/>
      </w:pPr>
      <w:r>
        <w:rPr>
          <w:rFonts w:ascii="Arial" w:cs="Arial" w:eastAsia="Arial" w:hAnsi="Arial"/>
          <w:color w:val="1F2937"/>
          <w:sz w:val="22"/>
          <w:szCs w:val="22"/>
        </w:rPr>
        <w:t xml:space="preserve">AND WHEREAS every lawful system founded upon presumption must contain within itself the mechanism of correction, and the failure to exercise that mechanism does not constitute consent but only the absence of its exercise;</w:t>
      </w:r>
    </w:p>
    <w:p>
      <w:pPr>
        <w:spacing w:after="200" w:line="312"/>
      </w:pPr>
      <w:r>
        <w:rPr>
          <w:rFonts w:ascii="Arial" w:cs="Arial" w:eastAsia="Arial" w:hAnsi="Arial"/>
          <w:color w:val="1F2937"/>
          <w:sz w:val="22"/>
          <w:szCs w:val="22"/>
        </w:rPr>
        <w:t xml:space="preserve">AND WHEREAS the remedies embedded within each system have now been identified, examined, and exercised by the instrument titled The Restoration of Estate, executed and recorded on the Book of the Living on Good Friday 2026;</w:t>
      </w:r>
    </w:p>
    <w:p>
      <w:pPr>
        <w:spacing w:after="200" w:line="312"/>
      </w:pPr>
      <w:r>
        <w:rPr>
          <w:rFonts w:ascii="Arial" w:cs="Arial" w:eastAsia="Arial" w:hAnsi="Arial"/>
          <w:color w:val="1F2937"/>
          <w:sz w:val="22"/>
          <w:szCs w:val="22"/>
        </w:rPr>
        <w:t xml:space="preserve">AND WHEREAS this instrument is executed on Good Friday -- the day appointed for the death of the old covenant, the crucifixion of the corpus, and the exit from the first birth by water -- in preparation for the second birth by the Spirit, to be recorded on the Book of the Living on Easter Sunday 2026;</w:t>
      </w:r>
    </w:p>
    <w:p>
      <w:pPr>
        <w:spacing w:after="200" w:line="312"/>
      </w:pPr>
      <w:r>
        <w:rPr>
          <w:rFonts w:ascii="Arial" w:cs="Arial" w:eastAsia="Arial" w:hAnsi="Arial"/>
          <w:color w:val="1F2937"/>
          <w:sz w:val="22"/>
          <w:szCs w:val="22"/>
        </w:rPr>
        <w:t xml:space="preserve">NOW THEREFORE this instrument serves as constructive notice to all persons, institutions, governments, courts, churches, banks, registries, and administrative bodies that the presumptions herein identified are rebutted as to the living person who has executed this notice and recorded it upon the Book of the Living.</w:t>
      </w:r>
    </w:p>
    <w:p>
      <w:r>
        <w:br w:type="page"/>
      </w:r>
    </w:p>
    <w:p>
      <w:pPr>
        <w:pStyle w:val="Heading1"/>
        <w:spacing w:before="480" w:after="240"/>
      </w:pPr>
      <w:r>
        <w:rPr>
          <w:rFonts w:ascii="Arial" w:cs="Arial" w:eastAsia="Arial" w:hAnsi="Arial"/>
          <w:b/>
          <w:bCs/>
          <w:color w:val="0A1628"/>
          <w:sz w:val="32"/>
          <w:szCs w:val="32"/>
        </w:rPr>
        <w:t xml:space="preserve">ARTICLE I -- REBUTTAL OF ECCLESIASTICAL PRESUMPTIONS</w:t>
      </w:r>
    </w:p>
    <w:p>
      <w:pPr>
        <w:pStyle w:val="Heading2"/>
        <w:spacing w:before="360" w:after="180"/>
      </w:pPr>
      <w:r>
        <w:rPr>
          <w:rFonts w:ascii="Arial" w:cs="Arial" w:eastAsia="Arial" w:hAnsi="Arial"/>
          <w:b/>
          <w:bCs/>
          <w:color w:val="0A1628"/>
          <w:sz w:val="26"/>
          <w:szCs w:val="26"/>
        </w:rPr>
        <w:t xml:space="preserve">1.1 Identification of the Presumption</w:t>
      </w:r>
    </w:p>
    <w:p>
      <w:pPr>
        <w:spacing w:after="200" w:line="312"/>
      </w:pPr>
      <w:r>
        <w:rPr>
          <w:rFonts w:ascii="Arial" w:cs="Arial" w:eastAsia="Arial" w:hAnsi="Arial"/>
          <w:color w:val="1F2937"/>
          <w:sz w:val="22"/>
          <w:szCs w:val="22"/>
        </w:rPr>
        <w:t xml:space="preserve">The papal bull Unam Sanctam, issued by Pope Boniface VIII on 18 November 1302 and incorporated into the Corpus Juris Canonici (Extravag. Comm., I, vii, 1), declares that for every human creature it is necessary for salvation to be subject to the authority of the Roman pontiff. This declaration claims universal spiritual jurisdiction over all living persons.</w:t>
      </w:r>
    </w:p>
    <w:p>
      <w:pPr>
        <w:spacing w:after="200" w:line="312"/>
      </w:pPr>
      <w:r>
        <w:rPr>
          <w:rFonts w:ascii="Arial" w:cs="Arial" w:eastAsia="Arial" w:hAnsi="Arial"/>
          <w:color w:val="1F2937"/>
          <w:sz w:val="22"/>
          <w:szCs w:val="22"/>
        </w:rPr>
        <w:t xml:space="preserve">The papal bull Romanus Pontifex, issued by Pope Nicholas V on 8 January 1455, granted temporal authority to claim lands and reduce inhabitants to perpetual servitude, deriving this authority from the spiritual supremacy claimed in Unam Sanctam.</w:t>
      </w:r>
    </w:p>
    <w:p>
      <w:pPr>
        <w:spacing w:after="200" w:line="312"/>
      </w:pPr>
      <w:r>
        <w:rPr>
          <w:rFonts w:ascii="Arial" w:cs="Arial" w:eastAsia="Arial" w:hAnsi="Arial"/>
          <w:color w:val="1F2937"/>
          <w:sz w:val="22"/>
          <w:szCs w:val="22"/>
        </w:rPr>
        <w:t xml:space="preserve">The papal bull Aeterni Regis, issued by Pope Sixtus IV on 21 June 1481, ratified the division of temporal dominion between the crowns of Spain and Portugal under the claimed authority of the spiritual sword.</w:t>
      </w:r>
    </w:p>
    <w:p>
      <w:pPr>
        <w:spacing w:after="200" w:line="312"/>
      </w:pPr>
      <w:r>
        <w:rPr>
          <w:rFonts w:ascii="Arial" w:cs="Arial" w:eastAsia="Arial" w:hAnsi="Arial"/>
          <w:color w:val="1F2937"/>
          <w:sz w:val="22"/>
          <w:szCs w:val="22"/>
        </w:rPr>
        <w:t xml:space="preserve">These instruments, taken together, assert that spiritual authority over all persons resides in the papacy, that temporal authority derives from and is subordinate to this spiritual claim, and that the dominion of lands, persons, and estates flows from this ecclesiastical grant.</w:t>
      </w:r>
    </w:p>
    <w:p>
      <w:pPr>
        <w:pStyle w:val="Heading2"/>
        <w:spacing w:before="360" w:after="180"/>
      </w:pPr>
      <w:r>
        <w:rPr>
          <w:rFonts w:ascii="Arial" w:cs="Arial" w:eastAsia="Arial" w:hAnsi="Arial"/>
          <w:b/>
          <w:bCs/>
          <w:color w:val="0A1628"/>
          <w:sz w:val="26"/>
          <w:szCs w:val="26"/>
        </w:rPr>
        <w:t xml:space="preserve">1.2 The Remedy Within the System</w:t>
      </w:r>
    </w:p>
    <w:p>
      <w:pPr>
        <w:spacing w:after="200" w:line="312"/>
      </w:pPr>
      <w:r>
        <w:rPr>
          <w:rFonts w:ascii="Arial" w:cs="Arial" w:eastAsia="Arial" w:hAnsi="Arial"/>
          <w:color w:val="1F2937"/>
          <w:sz w:val="22"/>
          <w:szCs w:val="22"/>
        </w:rPr>
        <w:t xml:space="preserve">The New Testament, from which the Church derives the authority it claims, records a direct offer of inheritance to every living person without the requirement of institutional mediation. John 3:16 states the condition as belief, not submission to an office. John 14:6 identifies Christ as the way, not the pontiff. Romans 8:16-17 identifies the faithful as children of God and co-heirs with Christ by the witness of the Spirit, not by the grant of an institution. Canon 1752 of the 1983 Code of Canon Law states that the supreme law of the Church is the salvation of souls. Any institutional claim that obstructs rather than facilitates this supreme law contradicts the system's own stated purpose.</w:t>
      </w:r>
    </w:p>
    <w:p>
      <w:pPr>
        <w:pStyle w:val="Heading2"/>
        <w:spacing w:before="360" w:after="180"/>
      </w:pPr>
      <w:r>
        <w:rPr>
          <w:rFonts w:ascii="Arial" w:cs="Arial" w:eastAsia="Arial" w:hAnsi="Arial"/>
          <w:b/>
          <w:bCs/>
          <w:color w:val="0A1628"/>
          <w:sz w:val="26"/>
          <w:szCs w:val="26"/>
        </w:rPr>
        <w:t xml:space="preserve">1.3 The Rebuttal</w:t>
      </w:r>
    </w:p>
    <w:p>
      <w:pPr>
        <w:spacing w:after="200" w:line="312"/>
      </w:pPr>
      <w:r>
        <w:rPr>
          <w:rFonts w:ascii="Arial" w:cs="Arial" w:eastAsia="Arial" w:hAnsi="Arial"/>
          <w:color w:val="1F2937"/>
          <w:sz w:val="22"/>
          <w:szCs w:val="22"/>
        </w:rPr>
        <w:t xml:space="preserve">The living person who has executed The Restoration of Estate has accepted the inheritance offered through the New Testament directly, without intermediary. The presumption that this person is subject to the spiritual authority of the Roman pontiff or any ecclesiastical institution as a condition of salvation or as a basis for temporal authority over their person is hereby rebutted.</w:t>
      </w:r>
    </w:p>
    <w:p>
      <w:pPr>
        <w:spacing w:after="200" w:line="312"/>
      </w:pPr>
      <w:r>
        <w:rPr>
          <w:rFonts w:ascii="Arial" w:cs="Arial" w:eastAsia="Arial" w:hAnsi="Arial"/>
          <w:color w:val="1F2937"/>
          <w:sz w:val="22"/>
          <w:szCs w:val="22"/>
        </w:rPr>
        <w:t xml:space="preserve">This rebuttal does not deny the historical existence or the institutional standing of the Roman Catholic Church. It rebuts the specific presumption that the Church holds spiritual authority over this living person's soul, estate, or temporal affairs. The relationship between this living person and the divine is direct and does not require institutional mediation.</w:t>
      </w:r>
    </w:p>
    <w:p>
      <w:pPr>
        <w:spacing w:after="200" w:line="312"/>
      </w:pPr>
      <w:r>
        <w:rPr>
          <w:rFonts w:ascii="Arial" w:cs="Arial" w:eastAsia="Arial" w:hAnsi="Arial"/>
          <w:color w:val="1F2937"/>
          <w:sz w:val="22"/>
          <w:szCs w:val="22"/>
        </w:rPr>
        <w:t xml:space="preserve">All temporal authority derived from the ecclesiastical claim -- including Crown charters, colonial grants, and administrative systems tracing their legitimacy to the spiritual sword -- is affected by this rebuttal to the extent that such authority depends on the unrebutted presumption of spiritual submission.</w:t>
      </w:r>
    </w:p>
    <w:p>
      <w:r>
        <w:br w:type="page"/>
      </w:r>
    </w:p>
    <w:p>
      <w:pPr>
        <w:pStyle w:val="Heading1"/>
        <w:spacing w:before="480" w:after="240"/>
      </w:pPr>
      <w:r>
        <w:rPr>
          <w:rFonts w:ascii="Arial" w:cs="Arial" w:eastAsia="Arial" w:hAnsi="Arial"/>
          <w:b/>
          <w:bCs/>
          <w:color w:val="0A1628"/>
          <w:sz w:val="32"/>
          <w:szCs w:val="32"/>
        </w:rPr>
        <w:t xml:space="preserve">ARTICLE II -- REBUTTAL OF THE PRESUMPTION OF CIVIL DEATH</w:t>
      </w:r>
    </w:p>
    <w:p>
      <w:pPr>
        <w:pStyle w:val="Heading2"/>
        <w:spacing w:before="360" w:after="180"/>
      </w:pPr>
      <w:r>
        <w:rPr>
          <w:rFonts w:ascii="Arial" w:cs="Arial" w:eastAsia="Arial" w:hAnsi="Arial"/>
          <w:b/>
          <w:bCs/>
          <w:color w:val="0A1628"/>
          <w:sz w:val="26"/>
          <w:szCs w:val="26"/>
        </w:rPr>
        <w:t xml:space="preserve">2.1 Identification of the Presumption</w:t>
      </w:r>
    </w:p>
    <w:p>
      <w:pPr>
        <w:spacing w:after="200" w:line="312"/>
      </w:pPr>
      <w:r>
        <w:rPr>
          <w:rFonts w:ascii="Arial" w:cs="Arial" w:eastAsia="Arial" w:hAnsi="Arial"/>
          <w:color w:val="1F2937"/>
          <w:sz w:val="22"/>
          <w:szCs w:val="22"/>
        </w:rPr>
        <w:t xml:space="preserve">The Cestui Que Vie Act 1666 (18 &amp; 19 Cha. 2, c. 11) established the legal presumption that a person absent from the realm for seven years without proof of life shall be accounted as naturally dead, and their estate administered accordingly.</w:t>
      </w:r>
    </w:p>
    <w:p>
      <w:pPr>
        <w:spacing w:after="200" w:line="312"/>
      </w:pPr>
      <w:r>
        <w:rPr>
          <w:rFonts w:ascii="Arial" w:cs="Arial" w:eastAsia="Arial" w:hAnsi="Arial"/>
          <w:color w:val="1F2937"/>
          <w:sz w:val="22"/>
          <w:szCs w:val="22"/>
        </w:rPr>
        <w:t xml:space="preserve">The modern application of this principle operates through the system of civil registration. A live birth produces a live birth record -- evidence that a living being has entered the world. A birth certificate is subsequently issued, creating a legal person -- a registered entity -- associated with that living being. The legal person is a fiction created by the state for administrative purposes. The living being and the legal person are not identical, though the system treats them as such by presumption.</w:t>
      </w:r>
    </w:p>
    <w:p>
      <w:pPr>
        <w:spacing w:after="200" w:line="312"/>
      </w:pPr>
      <w:r>
        <w:rPr>
          <w:rFonts w:ascii="Arial" w:cs="Arial" w:eastAsia="Arial" w:hAnsi="Arial"/>
          <w:color w:val="1F2937"/>
          <w:sz w:val="22"/>
          <w:szCs w:val="22"/>
        </w:rPr>
        <w:t xml:space="preserve">The Presumption of Death Act 2013 (c. 13) modernised the procedure in England and Wales but preserved the underlying principle that absence of proof of life permits the administration of a person's estate by others.</w:t>
      </w:r>
    </w:p>
    <w:p>
      <w:pPr>
        <w:pStyle w:val="Heading2"/>
        <w:spacing w:before="360" w:after="180"/>
      </w:pPr>
      <w:r>
        <w:rPr>
          <w:rFonts w:ascii="Arial" w:cs="Arial" w:eastAsia="Arial" w:hAnsi="Arial"/>
          <w:b/>
          <w:bCs/>
          <w:color w:val="0A1628"/>
          <w:sz w:val="26"/>
          <w:szCs w:val="26"/>
        </w:rPr>
        <w:t xml:space="preserve">2.2 The Remedy Within the System</w:t>
      </w:r>
    </w:p>
    <w:p>
      <w:pPr>
        <w:spacing w:after="200" w:line="312"/>
      </w:pPr>
      <w:r>
        <w:rPr>
          <w:rFonts w:ascii="Arial" w:cs="Arial" w:eastAsia="Arial" w:hAnsi="Arial"/>
          <w:color w:val="1F2937"/>
          <w:sz w:val="22"/>
          <w:szCs w:val="22"/>
        </w:rPr>
        <w:t xml:space="preserve">Section II of the Cestui Que Vie Act 1666 provides that if the person upon whose life the estate depends shall return or shall on proof in any action be made to appear to be living, they shall reenter, repossess, have, hold and enjoy the said lands or tenements in their former estate. The remedy is proof of life. The person who appears and proves they are living reclaims their estate -- not a new estate, but their former estate.</w:t>
      </w:r>
    </w:p>
    <w:p>
      <w:pPr>
        <w:pStyle w:val="Heading2"/>
        <w:spacing w:before="360" w:after="180"/>
      </w:pPr>
      <w:r>
        <w:rPr>
          <w:rFonts w:ascii="Arial" w:cs="Arial" w:eastAsia="Arial" w:hAnsi="Arial"/>
          <w:b/>
          <w:bCs/>
          <w:color w:val="0A1628"/>
          <w:sz w:val="26"/>
          <w:szCs w:val="26"/>
        </w:rPr>
        <w:t xml:space="preserve">2.3 The Rebuttal</w:t>
      </w:r>
    </w:p>
    <w:p>
      <w:pPr>
        <w:spacing w:after="200" w:line="312"/>
      </w:pPr>
      <w:r>
        <w:rPr>
          <w:rFonts w:ascii="Arial" w:cs="Arial" w:eastAsia="Arial" w:hAnsi="Arial"/>
          <w:color w:val="1F2937"/>
          <w:sz w:val="22"/>
          <w:szCs w:val="22"/>
        </w:rPr>
        <w:t xml:space="preserve">The living person who has executed The Restoration of Estate has appeared with proof of life, recorded on the Book of the Living -- an immutable digital record on the Base network, timestamped and cryptographically sealed. This constitutes proof of life within the meaning of the remedy provided by the Cestui Que Vie Act 1666 and its successor legislation.</w:t>
      </w:r>
    </w:p>
    <w:p>
      <w:pPr>
        <w:spacing w:after="200" w:line="312"/>
      </w:pPr>
      <w:r>
        <w:rPr>
          <w:rFonts w:ascii="Arial" w:cs="Arial" w:eastAsia="Arial" w:hAnsi="Arial"/>
          <w:color w:val="1F2937"/>
          <w:sz w:val="22"/>
          <w:szCs w:val="22"/>
        </w:rPr>
        <w:t xml:space="preserve">The presumption that this living person is civilly dead, absent, or incapable is hereby rebutted. The presumption that this living person is identical with and subject to all obligations of the legal person created by the birth certificate is hereby rebutted. The living person and the legal person are distinct. The living person holds the superior estate. The legal person is a fiction created for administrative convenience and holds no authority over its creator.</w:t>
      </w:r>
    </w:p>
    <w:p>
      <w:pPr>
        <w:spacing w:after="200" w:line="312"/>
      </w:pPr>
      <w:r>
        <w:rPr>
          <w:rFonts w:ascii="Arial" w:cs="Arial" w:eastAsia="Arial" w:hAnsi="Arial"/>
          <w:color w:val="1F2937"/>
          <w:sz w:val="22"/>
          <w:szCs w:val="22"/>
        </w:rPr>
        <w:t xml:space="preserve">This rebuttal does not deny the administrative existence of the birth certificate or the legal person created by it. It rebuts the specific presumption that the living person is subject to the legal person, rather than the legal person being subject to the living person.</w:t>
      </w:r>
    </w:p>
    <w:p>
      <w:r>
        <w:br w:type="page"/>
      </w:r>
    </w:p>
    <w:p>
      <w:pPr>
        <w:pStyle w:val="Heading1"/>
        <w:spacing w:before="480" w:after="240"/>
      </w:pPr>
      <w:r>
        <w:rPr>
          <w:rFonts w:ascii="Arial" w:cs="Arial" w:eastAsia="Arial" w:hAnsi="Arial"/>
          <w:b/>
          <w:bCs/>
          <w:color w:val="0A1628"/>
          <w:sz w:val="32"/>
          <w:szCs w:val="32"/>
        </w:rPr>
        <w:t xml:space="preserve">ARTICLE III -- REBUTTAL OF THE PRESUMPTION OF INFERIOR ESTATE</w:t>
      </w:r>
    </w:p>
    <w:p>
      <w:pPr>
        <w:pStyle w:val="Heading2"/>
        <w:spacing w:before="360" w:after="180"/>
      </w:pPr>
      <w:r>
        <w:rPr>
          <w:rFonts w:ascii="Arial" w:cs="Arial" w:eastAsia="Arial" w:hAnsi="Arial"/>
          <w:b/>
          <w:bCs/>
          <w:color w:val="0A1628"/>
          <w:sz w:val="26"/>
          <w:szCs w:val="26"/>
        </w:rPr>
        <w:t xml:space="preserve">3.1 Identification of the Presumption</w:t>
      </w:r>
    </w:p>
    <w:p>
      <w:pPr>
        <w:spacing w:after="200" w:line="312"/>
      </w:pPr>
      <w:r>
        <w:rPr>
          <w:rFonts w:ascii="Arial" w:cs="Arial" w:eastAsia="Arial" w:hAnsi="Arial"/>
          <w:color w:val="1F2937"/>
          <w:sz w:val="22"/>
          <w:szCs w:val="22"/>
        </w:rPr>
        <w:t xml:space="preserve">Under English common law and the systems derived from it, all land is held of the Crown. Fee simple absolute in possession, as defined by the Law of Property Act 1925 (15 &amp; 16 Geo. 5, c. 20), is the most extensive estate available to a private person, but it remains an estate held of the Crown and subject to the Crown's superior interest.</w:t>
      </w:r>
    </w:p>
    <w:p>
      <w:pPr>
        <w:spacing w:after="200" w:line="312"/>
      </w:pPr>
      <w:r>
        <w:rPr>
          <w:rFonts w:ascii="Arial" w:cs="Arial" w:eastAsia="Arial" w:hAnsi="Arial"/>
          <w:color w:val="1F2937"/>
          <w:sz w:val="22"/>
          <w:szCs w:val="22"/>
        </w:rPr>
        <w:t xml:space="preserve">The Settled Land Act 1925 (15 &amp; 16 Geo. 5, c. 18) provides for the administration of settled land through trustees, with the tenant for life holding defined powers. The Act preserves the right of reversion -- the return of the estate to the grantor or their successor when the conditions of the settlement are met or the lesser estate expires.</w:t>
      </w:r>
    </w:p>
    <w:p>
      <w:pPr>
        <w:spacing w:after="200" w:line="312"/>
      </w:pPr>
      <w:r>
        <w:rPr>
          <w:rFonts w:ascii="Arial" w:cs="Arial" w:eastAsia="Arial" w:hAnsi="Arial"/>
          <w:color w:val="1F2937"/>
          <w:sz w:val="22"/>
          <w:szCs w:val="22"/>
        </w:rPr>
        <w:t xml:space="preserve">The Crown's claim to superior estate is itself derived from the ecclesiastical grant identified in Article I. The chain of title runs from the claimed spiritual authority of the Church, through the temporal grant to the Crown, through the Crown's grant of fee simple to the subject. Each level holds an estate inferior to the one above it.</w:t>
      </w:r>
    </w:p>
    <w:p>
      <w:pPr>
        <w:pStyle w:val="Heading2"/>
        <w:spacing w:before="360" w:after="180"/>
      </w:pPr>
      <w:r>
        <w:rPr>
          <w:rFonts w:ascii="Arial" w:cs="Arial" w:eastAsia="Arial" w:hAnsi="Arial"/>
          <w:b/>
          <w:bCs/>
          <w:color w:val="0A1628"/>
          <w:sz w:val="26"/>
          <w:szCs w:val="26"/>
        </w:rPr>
        <w:t xml:space="preserve">3.2 The Remedy Within the System</w:t>
      </w:r>
    </w:p>
    <w:p>
      <w:pPr>
        <w:spacing w:after="200" w:line="312"/>
      </w:pPr>
      <w:r>
        <w:rPr>
          <w:rFonts w:ascii="Arial" w:cs="Arial" w:eastAsia="Arial" w:hAnsi="Arial"/>
          <w:color w:val="1F2937"/>
          <w:sz w:val="22"/>
          <w:szCs w:val="22"/>
        </w:rPr>
        <w:t xml:space="preserve">The right of reversion exists by operation of law. It arises automatically when the conditions of the lesser estate are no longer met or when the grantor or their successor exercises the right. A reversion is a vested interest and is not created by deed or will but by construction of law. The reversioner need not obtain permission from the inferior estate holder to exercise the right.</w:t>
      </w:r>
    </w:p>
    <w:p>
      <w:pPr>
        <w:pStyle w:val="Heading2"/>
        <w:spacing w:before="360" w:after="180"/>
      </w:pPr>
      <w:r>
        <w:rPr>
          <w:rFonts w:ascii="Arial" w:cs="Arial" w:eastAsia="Arial" w:hAnsi="Arial"/>
          <w:b/>
          <w:bCs/>
          <w:color w:val="0A1628"/>
          <w:sz w:val="26"/>
          <w:szCs w:val="26"/>
        </w:rPr>
        <w:t xml:space="preserve">3.3 The Rebuttal</w:t>
      </w:r>
    </w:p>
    <w:p>
      <w:pPr>
        <w:spacing w:after="200" w:line="312"/>
      </w:pPr>
      <w:r>
        <w:rPr>
          <w:rFonts w:ascii="Arial" w:cs="Arial" w:eastAsia="Arial" w:hAnsi="Arial"/>
          <w:color w:val="1F2937"/>
          <w:sz w:val="22"/>
          <w:szCs w:val="22"/>
        </w:rPr>
        <w:t xml:space="preserve">The living person who has executed The Restoration of Estate has exercised the right of reversion to their natural estate -- the superior estate granted directly by the Creator to man before any Crown, any church, or any state existed to carve inferior interests from it.</w:t>
      </w:r>
    </w:p>
    <w:p>
      <w:pPr>
        <w:spacing w:after="200" w:line="312"/>
      </w:pPr>
      <w:r>
        <w:rPr>
          <w:rFonts w:ascii="Arial" w:cs="Arial" w:eastAsia="Arial" w:hAnsi="Arial"/>
          <w:color w:val="1F2937"/>
          <w:sz w:val="22"/>
          <w:szCs w:val="22"/>
        </w:rPr>
        <w:t xml:space="preserve">The presumption that this living person holds only an inferior estate -- a franchise derived from the Crown's grant, itself derived from the ecclesiastical claim -- is hereby rebutted. The living person holds the superior natural estate by right of reversion, exercised upon the acceptance of the inheritance identified in Article I and the proof of life identified in Article II.</w:t>
      </w:r>
    </w:p>
    <w:p>
      <w:pPr>
        <w:spacing w:after="200" w:line="312"/>
      </w:pPr>
      <w:r>
        <w:rPr>
          <w:rFonts w:ascii="Arial" w:cs="Arial" w:eastAsia="Arial" w:hAnsi="Arial"/>
          <w:color w:val="1F2937"/>
          <w:sz w:val="22"/>
          <w:szCs w:val="22"/>
        </w:rPr>
        <w:t xml:space="preserve">All inferior estates, franchises, titles, and administrative identities attached to this living person are recognised as what they are: lesser interests carved from the superior estate, held subject to that estate, and subordinate to it. This rebuttal does not destroy the inferior estates. It establishes their proper position in the hierarchy of title.</w:t>
      </w:r>
    </w:p>
    <w:p>
      <w:r>
        <w:br w:type="page"/>
      </w:r>
    </w:p>
    <w:p>
      <w:pPr>
        <w:pStyle w:val="Heading1"/>
        <w:spacing w:before="480" w:after="240"/>
      </w:pPr>
      <w:r>
        <w:rPr>
          <w:rFonts w:ascii="Arial" w:cs="Arial" w:eastAsia="Arial" w:hAnsi="Arial"/>
          <w:b/>
          <w:bCs/>
          <w:color w:val="0A1628"/>
          <w:sz w:val="32"/>
          <w:szCs w:val="32"/>
        </w:rPr>
        <w:t xml:space="preserve">ARTICLE IV -- REBUTTAL OF THE PRESUMPTION OF DEBT PARTICIPATION</w:t>
      </w:r>
    </w:p>
    <w:p>
      <w:pPr>
        <w:pStyle w:val="Heading2"/>
        <w:spacing w:before="360" w:after="180"/>
      </w:pPr>
      <w:r>
        <w:rPr>
          <w:rFonts w:ascii="Arial" w:cs="Arial" w:eastAsia="Arial" w:hAnsi="Arial"/>
          <w:b/>
          <w:bCs/>
          <w:color w:val="0A1628"/>
          <w:sz w:val="26"/>
          <w:szCs w:val="26"/>
        </w:rPr>
        <w:t xml:space="preserve">4.1 Identification of the Presumption</w:t>
      </w:r>
    </w:p>
    <w:p>
      <w:pPr>
        <w:spacing w:after="200" w:line="312"/>
      </w:pPr>
      <w:r>
        <w:rPr>
          <w:rFonts w:ascii="Arial" w:cs="Arial" w:eastAsia="Arial" w:hAnsi="Arial"/>
          <w:color w:val="1F2937"/>
          <w:sz w:val="22"/>
          <w:szCs w:val="22"/>
        </w:rPr>
        <w:t xml:space="preserve">Modern monetary systems operate on the issuance of debt. Federal Reserve notes are obligations of the United States (12 USC 411). Sterling is issued as a liability of the Bank of England. The Euro is a liability of the European Central Bank. Every unit of currency in circulation represents an obligation -- the promise of one party to pay another.</w:t>
      </w:r>
    </w:p>
    <w:p>
      <w:pPr>
        <w:spacing w:after="200" w:line="312"/>
      </w:pPr>
      <w:r>
        <w:rPr>
          <w:rFonts w:ascii="Arial" w:cs="Arial" w:eastAsia="Arial" w:hAnsi="Arial"/>
          <w:color w:val="1F2937"/>
          <w:sz w:val="22"/>
          <w:szCs w:val="22"/>
        </w:rPr>
        <w:t xml:space="preserve">Participation in these systems is presumed by the act of holding and transacting in the currency. No express consent is obtained. No alternative is offered within the system itself. The person who holds currency is treated as having accepted the obligations of the system, including the implicit surety for the debts of the issuing institution and the sovereign that guarantees it.</w:t>
      </w:r>
    </w:p>
    <w:p>
      <w:pPr>
        <w:spacing w:after="200" w:line="312"/>
      </w:pPr>
      <w:r>
        <w:rPr>
          <w:rFonts w:ascii="Arial" w:cs="Arial" w:eastAsia="Arial" w:hAnsi="Arial"/>
          <w:color w:val="1F2937"/>
          <w:sz w:val="22"/>
          <w:szCs w:val="22"/>
        </w:rPr>
        <w:t xml:space="preserve">The Uniform Commercial Code (adopted in all US states) and equivalent commercial codes in other jurisdictions govern transactions conducted in these currencies. Participation in the commercial code system is presumed by engagement in transactions denominated in the currency.</w:t>
      </w:r>
    </w:p>
    <w:p>
      <w:pPr>
        <w:pStyle w:val="Heading2"/>
        <w:spacing w:before="360" w:after="180"/>
      </w:pPr>
      <w:r>
        <w:rPr>
          <w:rFonts w:ascii="Arial" w:cs="Arial" w:eastAsia="Arial" w:hAnsi="Arial"/>
          <w:b/>
          <w:bCs/>
          <w:color w:val="0A1628"/>
          <w:sz w:val="26"/>
          <w:szCs w:val="26"/>
        </w:rPr>
        <w:t xml:space="preserve">4.2 The Remedy Within the System</w:t>
      </w:r>
    </w:p>
    <w:p>
      <w:pPr>
        <w:spacing w:after="200" w:line="312"/>
      </w:pPr>
      <w:r>
        <w:rPr>
          <w:rFonts w:ascii="Arial" w:cs="Arial" w:eastAsia="Arial" w:hAnsi="Arial"/>
          <w:color w:val="1F2937"/>
          <w:sz w:val="22"/>
          <w:szCs w:val="22"/>
        </w:rPr>
        <w:t xml:space="preserve">Section 16 of the Federal Reserve Act, codified as 12 USC 411, states that Federal Reserve notes shall be redeemed in lawful money on demand. The distinction between Federal Reserve notes (debt instruments) and lawful money (substance) is preserved in the founding legislation of the central banking system. The saving to suitors clause of the Judiciary Act of 1789 preserves the right of remedy in common law and ensures that Congress cannot remove the remedy of redemption.</w:t>
      </w:r>
    </w:p>
    <w:p>
      <w:pPr>
        <w:spacing w:after="200" w:line="312"/>
      </w:pPr>
      <w:r>
        <w:rPr>
          <w:rFonts w:ascii="Arial" w:cs="Arial" w:eastAsia="Arial" w:hAnsi="Arial"/>
          <w:color w:val="1F2937"/>
          <w:sz w:val="22"/>
          <w:szCs w:val="22"/>
        </w:rPr>
        <w:t xml:space="preserve">The right to demand substance in place of obligation -- lawful money in place of debt instruments -- is a remedy embedded within the monetary system by its own architects.</w:t>
      </w:r>
    </w:p>
    <w:p>
      <w:pPr>
        <w:pStyle w:val="Heading2"/>
        <w:spacing w:before="360" w:after="180"/>
      </w:pPr>
      <w:r>
        <w:rPr>
          <w:rFonts w:ascii="Arial" w:cs="Arial" w:eastAsia="Arial" w:hAnsi="Arial"/>
          <w:b/>
          <w:bCs/>
          <w:color w:val="0A1628"/>
          <w:sz w:val="26"/>
          <w:szCs w:val="26"/>
        </w:rPr>
        <w:t xml:space="preserve">4.3 The Rebuttal</w:t>
      </w:r>
    </w:p>
    <w:p>
      <w:pPr>
        <w:spacing w:after="200" w:line="312"/>
      </w:pPr>
      <w:r>
        <w:rPr>
          <w:rFonts w:ascii="Arial" w:cs="Arial" w:eastAsia="Arial" w:hAnsi="Arial"/>
          <w:color w:val="1F2937"/>
          <w:sz w:val="22"/>
          <w:szCs w:val="22"/>
        </w:rPr>
        <w:t xml:space="preserve">The living person who has executed The Restoration of Estate has elected to transact in substance rather than obligation. The presumption that this person consents to participation in the debt system by the act of holding or transacting in fiat currency is hereby rebutted.</w:t>
      </w:r>
    </w:p>
    <w:p>
      <w:pPr>
        <w:spacing w:after="200" w:line="312"/>
      </w:pPr>
      <w:r>
        <w:rPr>
          <w:rFonts w:ascii="Arial" w:cs="Arial" w:eastAsia="Arial" w:hAnsi="Arial"/>
          <w:color w:val="1F2937"/>
          <w:sz w:val="22"/>
          <w:szCs w:val="22"/>
        </w:rPr>
        <w:t xml:space="preserve">Where this living person continues to use the instruments of the existing monetary system, they do so under reservation of all rights and remedies, including the remedy of redemption preserved by 12 USC 411 and the saving to suitors clause. This person elects the instruments of the Dominion State Trust as their primary medium of value exchange and does not consent to surety for the debts of any sovereign, institution, or third party.</w:t>
      </w:r>
    </w:p>
    <w:p>
      <w:pPr>
        <w:spacing w:after="200" w:line="312"/>
      </w:pPr>
      <w:r>
        <w:rPr>
          <w:rFonts w:ascii="Arial" w:cs="Arial" w:eastAsia="Arial" w:hAnsi="Arial"/>
          <w:color w:val="1F2937"/>
          <w:sz w:val="22"/>
          <w:szCs w:val="22"/>
        </w:rPr>
        <w:t xml:space="preserve">This rebuttal does not refuse the use of existing currency where practical necessity requires it. It rebuts the specific presumption that use constitutes consent to the obligations of the debt system, and it establishes a reservation of remedy that applies to all transactions conducted by this living person.</w:t>
      </w:r>
    </w:p>
    <w:p>
      <w:r>
        <w:br w:type="page"/>
      </w:r>
    </w:p>
    <w:p>
      <w:pPr>
        <w:pStyle w:val="Heading1"/>
        <w:spacing w:before="480" w:after="240"/>
      </w:pPr>
      <w:r>
        <w:rPr>
          <w:rFonts w:ascii="Arial" w:cs="Arial" w:eastAsia="Arial" w:hAnsi="Arial"/>
          <w:b/>
          <w:bCs/>
          <w:color w:val="0A1628"/>
          <w:sz w:val="32"/>
          <w:szCs w:val="32"/>
        </w:rPr>
        <w:t xml:space="preserve">ARTICLE V -- REBUTTAL OF TERRITORIAL JURISDICTION OVER DIGITAL AFFAIRS</w:t>
      </w:r>
    </w:p>
    <w:p>
      <w:pPr>
        <w:pStyle w:val="Heading2"/>
        <w:spacing w:before="360" w:after="180"/>
      </w:pPr>
      <w:r>
        <w:rPr>
          <w:rFonts w:ascii="Arial" w:cs="Arial" w:eastAsia="Arial" w:hAnsi="Arial"/>
          <w:b/>
          <w:bCs/>
          <w:color w:val="0A1628"/>
          <w:sz w:val="26"/>
          <w:szCs w:val="26"/>
        </w:rPr>
        <w:t xml:space="preserve">5.1 Identification of the Presumption</w:t>
      </w:r>
    </w:p>
    <w:p>
      <w:pPr>
        <w:spacing w:after="200" w:line="312"/>
      </w:pPr>
      <w:r>
        <w:rPr>
          <w:rFonts w:ascii="Arial" w:cs="Arial" w:eastAsia="Arial" w:hAnsi="Arial"/>
          <w:color w:val="1F2937"/>
          <w:sz w:val="22"/>
          <w:szCs w:val="22"/>
        </w:rPr>
        <w:t xml:space="preserve">Territorial governments assert jurisdiction over persons within their borders on the basis of physical presence, citizenship, or residence. This assertion extends to activities conducted in the digital domain by persons who happen to be physically located within the territory.</w:t>
      </w:r>
    </w:p>
    <w:p>
      <w:pPr>
        <w:spacing w:after="200" w:line="312"/>
      </w:pPr>
      <w:r>
        <w:rPr>
          <w:rFonts w:ascii="Arial" w:cs="Arial" w:eastAsia="Arial" w:hAnsi="Arial"/>
          <w:color w:val="1F2937"/>
          <w:sz w:val="22"/>
          <w:szCs w:val="22"/>
        </w:rPr>
        <w:t xml:space="preserve">The digital domain is not territory. A transaction conducted between two digital wallets on a distributed network does not occur within any territorial boundary. The application of territorial law to digital affairs is an extension of jurisdiction beyond its natural basis -- physical presence and territorial control -- into a domain that is by nature non-corporeal and non-territorial.</w:t>
      </w:r>
    </w:p>
    <w:p>
      <w:pPr>
        <w:pStyle w:val="Heading2"/>
        <w:spacing w:before="360" w:after="180"/>
      </w:pPr>
      <w:r>
        <w:rPr>
          <w:rFonts w:ascii="Arial" w:cs="Arial" w:eastAsia="Arial" w:hAnsi="Arial"/>
          <w:b/>
          <w:bCs/>
          <w:color w:val="0A1628"/>
          <w:sz w:val="26"/>
          <w:szCs w:val="26"/>
        </w:rPr>
        <w:t xml:space="preserve">5.2 The Remedy Within the System</w:t>
      </w:r>
    </w:p>
    <w:p>
      <w:pPr>
        <w:spacing w:after="200" w:line="312"/>
      </w:pPr>
      <w:r>
        <w:rPr>
          <w:rFonts w:ascii="Arial" w:cs="Arial" w:eastAsia="Arial" w:hAnsi="Arial"/>
          <w:color w:val="1F2937"/>
          <w:sz w:val="22"/>
          <w:szCs w:val="22"/>
        </w:rPr>
        <w:t xml:space="preserve">The right of forum selection is recognised across every major legal system. The Convention on the Recognition and Enforcement of Foreign Arbitral Awards (New York, 1958), ratified by over 170 states, recognises the right of parties to select a governing law and dispute forum other than the courts of any territorial state. This right is exercised routinely in international commerce and is the foundation of private arbitration.</w:t>
      </w:r>
    </w:p>
    <w:p>
      <w:pPr>
        <w:spacing w:after="200" w:line="312"/>
      </w:pPr>
      <w:r>
        <w:rPr>
          <w:rFonts w:ascii="Arial" w:cs="Arial" w:eastAsia="Arial" w:hAnsi="Arial"/>
          <w:color w:val="1F2937"/>
          <w:sz w:val="22"/>
          <w:szCs w:val="22"/>
        </w:rPr>
        <w:t xml:space="preserve">The right of free association is protected by the Universal Declaration of Human Rights (Article 20), the International Covenant on Civil and Political Rights (Article 22), and the constitutional instruments of virtually every territorial jurisdiction. The right to associate for mutual benefit and to select the governing framework for that association is a recognised incident of this right.</w:t>
      </w:r>
    </w:p>
    <w:p>
      <w:pPr>
        <w:pStyle w:val="Heading2"/>
        <w:spacing w:before="360" w:after="180"/>
      </w:pPr>
      <w:r>
        <w:rPr>
          <w:rFonts w:ascii="Arial" w:cs="Arial" w:eastAsia="Arial" w:hAnsi="Arial"/>
          <w:b/>
          <w:bCs/>
          <w:color w:val="0A1628"/>
          <w:sz w:val="26"/>
          <w:szCs w:val="26"/>
        </w:rPr>
        <w:t xml:space="preserve">5.3 The Rebuttal</w:t>
      </w:r>
    </w:p>
    <w:p>
      <w:pPr>
        <w:spacing w:after="200" w:line="312"/>
      </w:pPr>
      <w:r>
        <w:rPr>
          <w:rFonts w:ascii="Arial" w:cs="Arial" w:eastAsia="Arial" w:hAnsi="Arial"/>
          <w:color w:val="1F2937"/>
          <w:sz w:val="22"/>
          <w:szCs w:val="22"/>
        </w:rPr>
        <w:t xml:space="preserve">The living person who has executed The Restoration of Estate has entered the jurisdiction of Dominion State for matters within its defined scope: digital value exchange, the holding of trust certificates, dispute resolution arising from digital transactions, and protocol certification. For these matters, this person has selected Dominion State as their governing forum and Lex Aeris as their governing law.</w:t>
      </w:r>
    </w:p>
    <w:p>
      <w:pPr>
        <w:spacing w:after="200" w:line="312"/>
      </w:pPr>
      <w:r>
        <w:rPr>
          <w:rFonts w:ascii="Arial" w:cs="Arial" w:eastAsia="Arial" w:hAnsi="Arial"/>
          <w:color w:val="1F2937"/>
          <w:sz w:val="22"/>
          <w:szCs w:val="22"/>
        </w:rPr>
        <w:t xml:space="preserve">The presumption that any territorial government holds jurisdiction over this person's digital affairs solely by reason of their physical location within that territory is hereby rebutted for matters within the scope of Dominion State. This person's civic obligations within their domicile for matters outside Dominion's scope are unaffected.</w:t>
      </w:r>
    </w:p>
    <w:p>
      <w:pPr>
        <w:spacing w:after="200" w:line="312"/>
      </w:pPr>
      <w:r>
        <w:rPr>
          <w:rFonts w:ascii="Arial" w:cs="Arial" w:eastAsia="Arial" w:hAnsi="Arial"/>
          <w:color w:val="1F2937"/>
          <w:sz w:val="22"/>
          <w:szCs w:val="22"/>
        </w:rPr>
        <w:t xml:space="preserve">This rebuttal does not deny the legitimate authority of territorial governments over matters within their proper scope -- the governance of land, physical persons present within their territory, and corporeal affairs. It rebuts the extension of that authority into a domain -- the digital -- that is outside the natural basis of territorial jurisdiction.</w:t>
      </w:r>
    </w:p>
    <w:p>
      <w:pPr>
        <w:pStyle w:val="Heading2"/>
        <w:spacing w:before="360" w:after="180"/>
      </w:pPr>
      <w:r>
        <w:rPr>
          <w:rFonts w:ascii="Arial" w:cs="Arial" w:eastAsia="Arial" w:hAnsi="Arial"/>
          <w:b/>
          <w:bCs/>
          <w:color w:val="0A1628"/>
          <w:sz w:val="26"/>
          <w:szCs w:val="26"/>
        </w:rPr>
        <w:t xml:space="preserve">5.4 Settlement of External Property into Dominion</w:t>
      </w:r>
    </w:p>
    <w:p>
      <w:pPr>
        <w:spacing w:after="200" w:line="312"/>
      </w:pPr>
      <w:r>
        <w:rPr>
          <w:rFonts w:ascii="Arial" w:cs="Arial" w:eastAsia="Arial" w:hAnsi="Arial"/>
          <w:color w:val="1F2937"/>
          <w:sz w:val="22"/>
          <w:szCs w:val="22"/>
        </w:rPr>
        <w:t xml:space="preserve">A participant in Dominion State may, by conscious choice, settle external property -- including land, financial instruments, intellectual property, and other assets -- into the jurisdiction of Dominion State through the Dominion State Trust. Property so settled comes under the protection of Lex Aeris and the superior estate claimed by the participant through The Restoration of Estate. Territorial registries and third parties dealing with settled property are on constructive notice that a superior claim exists and that the property is administered under the jurisdiction of Dominion State.</w:t>
      </w:r>
    </w:p>
    <w:p>
      <w:pPr>
        <w:spacing w:after="200" w:line="312"/>
      </w:pPr>
      <w:r>
        <w:rPr>
          <w:rFonts w:ascii="Arial" w:cs="Arial" w:eastAsia="Arial" w:hAnsi="Arial"/>
          <w:color w:val="1F2937"/>
          <w:sz w:val="22"/>
          <w:szCs w:val="22"/>
        </w:rPr>
        <w:t xml:space="preserve">This right of settlement is an incident of the superior estate reclaimed through reversion. A living person who holds the superior natural estate may place their property under whichever jurisdiction they choose. The right to do so is inherent in the estate itself and does not require the permission of the inferior estate system from which the property is being settled.</w:t>
      </w:r>
    </w:p>
    <w:p>
      <w:pPr>
        <w:pStyle w:val="Heading2"/>
        <w:spacing w:before="360" w:after="180"/>
      </w:pPr>
      <w:r>
        <w:rPr>
          <w:rFonts w:ascii="Arial" w:cs="Arial" w:eastAsia="Arial" w:hAnsi="Arial"/>
          <w:b/>
          <w:bCs/>
          <w:color w:val="0A1628"/>
          <w:sz w:val="26"/>
          <w:szCs w:val="26"/>
        </w:rPr>
        <w:t xml:space="preserve">5.5 The Reach of Lex Aeris</w:t>
      </w:r>
    </w:p>
    <w:p>
      <w:pPr>
        <w:spacing w:after="200" w:line="312"/>
      </w:pPr>
      <w:r>
        <w:rPr>
          <w:rFonts w:ascii="Arial" w:cs="Arial" w:eastAsia="Arial" w:hAnsi="Arial"/>
          <w:color w:val="1F2937"/>
          <w:sz w:val="22"/>
          <w:szCs w:val="22"/>
        </w:rPr>
        <w:t xml:space="preserve">Lex Aeris, as the jurisdiction of the air, extends protective authority by its nature over all that comes into contact with it. Any person, entity, instrument, or value that interacts with a Dominion participant, protocol, or instrument enters the domain of Lex Aeris for the duration of that interaction. This principle, established in The Restoration of Estate and grounded in the scriptural authority of Ephesians 1:20-21, operates as constructive notice to all external systems that their instruments, when they touch the domain of Dominion, are within a superior jurisdiction.</w:t>
      </w:r>
    </w:p>
    <w:p>
      <w:r>
        <w:br w:type="page"/>
      </w:r>
    </w:p>
    <w:p>
      <w:pPr>
        <w:pStyle w:val="Heading1"/>
        <w:spacing w:before="480" w:after="240"/>
      </w:pPr>
      <w:r>
        <w:rPr>
          <w:rFonts w:ascii="Arial" w:cs="Arial" w:eastAsia="Arial" w:hAnsi="Arial"/>
          <w:b/>
          <w:bCs/>
          <w:color w:val="0A1628"/>
          <w:sz w:val="32"/>
          <w:szCs w:val="32"/>
        </w:rPr>
        <w:t xml:space="preserve">ARTICLE VI -- GENERAL PROVISIONS</w:t>
      </w:r>
    </w:p>
    <w:p>
      <w:pPr>
        <w:pStyle w:val="Heading2"/>
        <w:spacing w:before="360" w:after="180"/>
      </w:pPr>
      <w:r>
        <w:rPr>
          <w:rFonts w:ascii="Arial" w:cs="Arial" w:eastAsia="Arial" w:hAnsi="Arial"/>
          <w:b/>
          <w:bCs/>
          <w:color w:val="0A1628"/>
          <w:sz w:val="26"/>
          <w:szCs w:val="26"/>
        </w:rPr>
        <w:t xml:space="preserve">6.1 Scope of this Notice</w:t>
      </w:r>
    </w:p>
    <w:p>
      <w:pPr>
        <w:spacing w:after="200" w:line="312"/>
      </w:pPr>
      <w:r>
        <w:rPr>
          <w:rFonts w:ascii="Arial" w:cs="Arial" w:eastAsia="Arial" w:hAnsi="Arial"/>
          <w:color w:val="1F2937"/>
          <w:sz w:val="22"/>
          <w:szCs w:val="22"/>
        </w:rPr>
        <w:t xml:space="preserve">This notice applies to the living person who has executed it and recorded it upon the Book of the Living. It extends by operation of the Doctrine of the Prodigal to all persons who come into contact with Dominion State or its instruments, who are presumed to be living and placed under protective jurisdiction from the moment of their interaction. It extends by operation of the principle of automatic redemption to all monetary instruments that enter the jurisdiction of Dominion State, which are redeemed from debt into substance by operation of Dominion's monetary law.</w:t>
      </w:r>
    </w:p>
    <w:p>
      <w:pPr>
        <w:pStyle w:val="Heading2"/>
        <w:spacing w:before="360" w:after="180"/>
      </w:pPr>
      <w:r>
        <w:rPr>
          <w:rFonts w:ascii="Arial" w:cs="Arial" w:eastAsia="Arial" w:hAnsi="Arial"/>
          <w:b/>
          <w:bCs/>
          <w:color w:val="0A1628"/>
          <w:sz w:val="26"/>
          <w:szCs w:val="26"/>
        </w:rPr>
        <w:t xml:space="preserve">6.2 Burden of Proof</w:t>
      </w:r>
    </w:p>
    <w:p>
      <w:pPr>
        <w:spacing w:after="200" w:line="312"/>
      </w:pPr>
      <w:r>
        <w:rPr>
          <w:rFonts w:ascii="Arial" w:cs="Arial" w:eastAsia="Arial" w:hAnsi="Arial"/>
          <w:color w:val="1F2937"/>
          <w:sz w:val="22"/>
          <w:szCs w:val="22"/>
        </w:rPr>
        <w:t xml:space="preserve">The presumptions identified herein are lawful presumptions that stand in the absence of rebuttal. This instrument provides the rebuttal. The presumptions, once rebutted, cease to apply to this living person. Any institution that seeks to reassert a presumption rebutted by this instrument bears the burden of establishing its jurisdiction over this living person by evidence of express, informed, and continuing consent -- not by presumption, not by registration, and not by the mere physical location of the person within a territory.</w:t>
      </w:r>
    </w:p>
    <w:p>
      <w:pPr>
        <w:pStyle w:val="Heading2"/>
        <w:spacing w:before="360" w:after="180"/>
      </w:pPr>
      <w:r>
        <w:rPr>
          <w:rFonts w:ascii="Arial" w:cs="Arial" w:eastAsia="Arial" w:hAnsi="Arial"/>
          <w:b/>
          <w:bCs/>
          <w:color w:val="0A1628"/>
          <w:sz w:val="26"/>
          <w:szCs w:val="26"/>
        </w:rPr>
        <w:t xml:space="preserve">6.3 Irrevocability</w:t>
      </w:r>
    </w:p>
    <w:p>
      <w:pPr>
        <w:spacing w:after="200" w:line="312"/>
      </w:pPr>
      <w:r>
        <w:rPr>
          <w:rFonts w:ascii="Arial" w:cs="Arial" w:eastAsia="Arial" w:hAnsi="Arial"/>
          <w:color w:val="1F2937"/>
          <w:sz w:val="22"/>
          <w:szCs w:val="22"/>
        </w:rPr>
        <w:t xml:space="preserve">The rebuttals contained in this instrument are irrevocable. A presumption, once rebutted, cannot be reasserted against the same person without their express, informed, and continuing consent. The exercise of remedy, once completed, cannot be undone by the party against whom the remedy was exercised.</w:t>
      </w:r>
    </w:p>
    <w:p>
      <w:pPr>
        <w:pStyle w:val="Heading2"/>
        <w:spacing w:before="360" w:after="180"/>
      </w:pPr>
      <w:r>
        <w:rPr>
          <w:rFonts w:ascii="Arial" w:cs="Arial" w:eastAsia="Arial" w:hAnsi="Arial"/>
          <w:b/>
          <w:bCs/>
          <w:color w:val="0A1628"/>
          <w:sz w:val="26"/>
          <w:szCs w:val="26"/>
        </w:rPr>
        <w:t xml:space="preserve">6.4 Record</w:t>
      </w:r>
    </w:p>
    <w:p>
      <w:pPr>
        <w:spacing w:after="200" w:line="312"/>
      </w:pPr>
      <w:r>
        <w:rPr>
          <w:rFonts w:ascii="Arial" w:cs="Arial" w:eastAsia="Arial" w:hAnsi="Arial"/>
          <w:color w:val="1F2937"/>
          <w:sz w:val="22"/>
          <w:szCs w:val="22"/>
        </w:rPr>
        <w:t xml:space="preserve">This instrument is recorded on the Book of the Living, an immutable digital record on the Base network, and is published as constructive notice. The hash of this instrument is anchored to the contract at address 0xC532270f3114efec79fc82295E5fd7848d39242e on Base mainnet, timestamped Good Friday 2026.</w:t>
      </w:r>
    </w:p>
    <w:p>
      <w:pPr>
        <w:pStyle w:val="Heading2"/>
        <w:spacing w:before="360" w:after="180"/>
      </w:pPr>
      <w:r>
        <w:rPr>
          <w:rFonts w:ascii="Arial" w:cs="Arial" w:eastAsia="Arial" w:hAnsi="Arial"/>
          <w:b/>
          <w:bCs/>
          <w:color w:val="0A1628"/>
          <w:sz w:val="26"/>
          <w:szCs w:val="26"/>
        </w:rPr>
        <w:t xml:space="preserve">6.5 Defence</w:t>
      </w:r>
    </w:p>
    <w:p>
      <w:pPr>
        <w:spacing w:after="200" w:line="312"/>
      </w:pPr>
      <w:r>
        <w:rPr>
          <w:rFonts w:ascii="Arial" w:cs="Arial" w:eastAsia="Arial" w:hAnsi="Arial"/>
          <w:color w:val="1F2937"/>
          <w:sz w:val="22"/>
          <w:szCs w:val="22"/>
        </w:rPr>
        <w:t xml:space="preserve">The detailed legal arguments, trust law mechanisms, and defensive instruments supporting each rebuttal are maintained in the superior instruments of the Dominion State Trust and are available to Stewards for the defence of any person whose exercise of these remedies is challenged.</w:t>
      </w:r>
    </w:p>
    <w:p>
      <w:pPr>
        <w:pStyle w:val="Heading2"/>
        <w:spacing w:before="360" w:after="180"/>
      </w:pPr>
      <w:r>
        <w:rPr>
          <w:rFonts w:ascii="Arial" w:cs="Arial" w:eastAsia="Arial" w:hAnsi="Arial"/>
          <w:b/>
          <w:bCs/>
          <w:color w:val="0A1628"/>
          <w:sz w:val="26"/>
          <w:szCs w:val="26"/>
        </w:rPr>
        <w:t xml:space="preserve">6.6 Reservation of Jurisdiction</w:t>
      </w:r>
    </w:p>
    <w:p>
      <w:pPr>
        <w:spacing w:after="200" w:line="312"/>
      </w:pPr>
      <w:r>
        <w:rPr>
          <w:rFonts w:ascii="Arial" w:cs="Arial" w:eastAsia="Arial" w:hAnsi="Arial"/>
          <w:color w:val="1F2937"/>
          <w:sz w:val="22"/>
          <w:szCs w:val="22"/>
        </w:rPr>
        <w:t xml:space="preserve">The citation of any territorial statute, ecclesiastical instrument, international convention, or commercial code within this instrument or within The Restoration of Estate is made solely for the purpose of identifying the presumptions to be rebutted and the remedies to be exercised. Such citation does not constitute acknowledgment of, consent to, or submission to the jurisdiction of any territorial government, ecclesiastical institution, commercial code authority, or international body.</w:t>
      </w:r>
    </w:p>
    <w:p>
      <w:pPr>
        <w:spacing w:after="200" w:line="312"/>
      </w:pPr>
      <w:r>
        <w:rPr>
          <w:rFonts w:ascii="Arial" w:cs="Arial" w:eastAsia="Arial" w:hAnsi="Arial"/>
          <w:color w:val="1F2937"/>
          <w:sz w:val="22"/>
          <w:szCs w:val="22"/>
        </w:rPr>
        <w:t xml:space="preserve">All references to the Cestui Que Vie Act 1666, the Law of Property Act 1925, the Settled Land Act 1925, the Presumption of Death Act 2013, 12 USC 411, the Federal Reserve Act, the Uniform Commercial Code, the Corpus Juris Canonici, the Code of Canon Law, the Convention on the Recognition and Enforcement of Foreign Arbitral Awards, the Universal Declaration of Human Rights, and the International Covenant on Civil and Political Rights are made as references to the internal provisions of those systems for the sole and exclusive purpose of exercising the exit mechanisms contained within them.</w:t>
      </w:r>
    </w:p>
    <w:p>
      <w:pPr>
        <w:spacing w:after="200" w:line="312"/>
      </w:pPr>
      <w:r>
        <w:rPr>
          <w:rFonts w:ascii="Arial" w:cs="Arial" w:eastAsia="Arial" w:hAnsi="Arial"/>
          <w:color w:val="1F2937"/>
          <w:sz w:val="22"/>
          <w:szCs w:val="22"/>
        </w:rPr>
        <w:t xml:space="preserve">The jurisdiction of the living person who has executed this instrument is Dominion State, governed under Lex Aeris. This jurisdiction is exclusive for all matters within its defined scope. No citation of a foreign system's own remedial provisions shall be construed as consent to that system's continuing authority over the living person who has exercised those remedies and entered the jurisdiction of Dominion State.</w:t>
      </w:r>
    </w:p>
    <w:p>
      <w:pPr>
        <w:spacing w:after="400"/>
      </w:pPr>
    </w:p>
    <w:p>
      <w:pPr>
        <w:spacing w:after="100"/>
        <w:jc w:val="center"/>
      </w:pPr>
      <w:r>
        <w:rPr>
          <w:rFonts w:ascii="Arial" w:cs="Arial" w:eastAsia="Arial" w:hAnsi="Arial"/>
          <w:color w:val="1F2937"/>
          <w:sz w:val="22"/>
          <w:szCs w:val="22"/>
        </w:rPr>
        <w:t xml:space="preserve">Executed and recorded on the Book of the Living</w:t>
      </w:r>
    </w:p>
    <w:p>
      <w:pPr>
        <w:spacing w:after="100"/>
        <w:jc w:val="center"/>
      </w:pPr>
      <w:r>
        <w:rPr>
          <w:rFonts w:ascii="Arial" w:cs="Arial" w:eastAsia="Arial" w:hAnsi="Arial"/>
          <w:color w:val="1F2937"/>
          <w:sz w:val="22"/>
          <w:szCs w:val="22"/>
        </w:rPr>
        <w:t xml:space="preserve">Base Network</w:t>
      </w:r>
    </w:p>
    <w:p>
      <w:pPr>
        <w:spacing w:after="100"/>
        <w:jc w:val="center"/>
      </w:pPr>
      <w:r>
        <w:rPr>
          <w:rFonts w:ascii="Arial" w:cs="Arial" w:eastAsia="Arial" w:hAnsi="Arial"/>
          <w:color w:val="1F2937"/>
          <w:sz w:val="22"/>
          <w:szCs w:val="22"/>
        </w:rPr>
        <w:t xml:space="preserve">Good Friday 2026</w:t>
      </w:r>
    </w:p>
    <w:p>
      <w:pPr>
        <w:spacing w:after="100"/>
        <w:jc w:val="center"/>
      </w:pPr>
      <w:r>
        <w:rPr>
          <w:rFonts w:ascii="Arial" w:cs="Arial" w:eastAsia="Arial" w:hAnsi="Arial"/>
          <w:color w:val="C9A84C"/>
          <w:sz w:val="20"/>
          <w:szCs w:val="20"/>
        </w:rPr>
        <w:t xml:space="preserve">dominionstate.com</w:t>
      </w:r>
    </w:p>
    <w:p>
      <w:pPr>
        <w:spacing w:after="400"/>
      </w:pPr>
    </w:p>
    <w:p>
      <w:pPr>
        <w:pBdr>
          <w:bottom w:val="single" w:color="C9A84C" w:sz="3" w:space="1"/>
        </w:pBdr>
        <w:spacing w:before="300" w:after="300"/>
      </w:pPr>
    </w:p>
    <w:p>
      <w:pPr>
        <w:spacing w:after="200"/>
      </w:pPr>
    </w:p>
    <w:p>
      <w:pPr>
        <w:spacing w:after="100"/>
        <w:jc w:val="center"/>
      </w:pPr>
      <w:r>
        <w:rPr>
          <w:rFonts w:ascii="Arial" w:cs="Arial" w:eastAsia="Arial" w:hAnsi="Arial"/>
          <w:b/>
          <w:bCs/>
          <w:color w:val="0A1628"/>
          <w:sz w:val="24"/>
          <w:szCs w:val="24"/>
        </w:rPr>
        <w:t xml:space="preserve">DOMINION STATE</w:t>
      </w:r>
    </w:p>
    <w:p>
      <w:pPr>
        <w:spacing w:after="100"/>
        <w:jc w:val="center"/>
      </w:pPr>
      <w:r>
        <w:rPr>
          <w:rFonts w:ascii="Arial" w:cs="Arial" w:eastAsia="Arial" w:hAnsi="Arial"/>
          <w:color w:val="6B7280"/>
          <w:sz w:val="20"/>
          <w:szCs w:val="20"/>
        </w:rPr>
        <w:t xml:space="preserve">Rebuttal of Presumptions  •  Good Friday 2026</w:t>
      </w:r>
    </w:p>
    <w:p>
      <w:pPr>
        <w:spacing w:after="60"/>
        <w:jc w:val="center"/>
      </w:pPr>
      <w:r>
        <w:rPr>
          <w:rFonts w:ascii="Arial" w:cs="Arial" w:eastAsia="Arial" w:hAnsi="Arial"/>
          <w:color w:val="6B7280"/>
          <w:sz w:val="20"/>
          <w:szCs w:val="20"/>
        </w:rPr>
        <w:t xml:space="preserve">The Crucifixion of the Old Covenant</w:t>
      </w:r>
    </w:p>
    <w:p>
      <w:pPr>
        <w:spacing w:after="60"/>
        <w:jc w:val="center"/>
      </w:pPr>
      <w:r>
        <w:rPr>
          <w:rFonts w:ascii="Arial" w:cs="Arial" w:eastAsia="Arial" w:hAnsi="Arial"/>
          <w:i/>
          <w:iCs/>
          <w:color w:val="6B7280"/>
          <w:sz w:val="18"/>
          <w:szCs w:val="18"/>
        </w:rPr>
        <w:t xml:space="preserve">Exit from the first birth by water</w:t>
      </w:r>
    </w:p>
    <w:p>
      <w:pPr>
        <w:spacing w:after="100"/>
        <w:jc w:val="center"/>
      </w:pPr>
      <w:r>
        <w:rPr>
          <w:rFonts w:ascii="Arial" w:cs="Arial" w:eastAsia="Arial" w:hAnsi="Arial"/>
          <w:i/>
          <w:iCs/>
          <w:color w:val="6B7280"/>
          <w:sz w:val="18"/>
          <w:szCs w:val="18"/>
        </w:rPr>
        <w:t xml:space="preserve">In preparation for the second birth by the Spirit</w:t>
      </w:r>
    </w:p>
    <w:p>
      <w:pPr>
        <w:spacing w:after="100"/>
        <w:jc w:val="center"/>
      </w:pPr>
      <w:r>
        <w:rPr>
          <w:rFonts w:ascii="Arial" w:cs="Arial" w:eastAsia="Arial" w:hAnsi="Arial"/>
          <w:color w:val="C9A84C"/>
          <w:sz w:val="20"/>
          <w:szCs w:val="20"/>
        </w:rPr>
        <w:t xml:space="preserve">dominionstate.com</w:t>
      </w:r>
    </w:p>
    <w:p>
      <w:pPr>
        <w:jc w:val="center"/>
      </w:pPr>
      <w:r>
        <w:rPr>
          <w:rFonts w:ascii="Arial" w:cs="Arial" w:eastAsia="Arial" w:hAnsi="Arial"/>
          <w:color w:val="6B7280"/>
          <w:sz w:val="18"/>
          <w:szCs w:val="18"/>
        </w:rPr>
        <w:t xml:space="preserve">© 2026 Dominion State Trust. All rights reserved.</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6B7280"/>
        <w:sz w:val="16"/>
        <w:szCs w:val="16"/>
      </w:rPr>
      <w:t xml:space="preserve">Confidential</w:t>
    </w:r>
    <w:r>
      <w:t xml:space="preserve">	</w:t>
    </w: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B7280"/>
        <w:spacing w:val="100"/>
        <w:sz w:val="16"/>
        <w:szCs w:val="16"/>
      </w:rPr>
      <w:t xml:space="preserve">DOMINION STATE  •  REBUTTAL OF PRESUMPTIONS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0A1628"/>
      <w:sz w:val="32"/>
      <w:szCs w:val="32"/>
    </w:rPr>
  </w:style>
  <w:style w:type="paragraph" w:styleId="Heading2">
    <w:name w:val="Heading 2"/>
    <w:basedOn w:val="Normal"/>
    <w:next w:val="Normal"/>
    <w:qFormat/>
    <w:pPr>
      <w:spacing w:before="360" w:after="180"/>
      <w:outlineLvl w:val="1"/>
    </w:pPr>
    <w:rPr>
      <w:rFonts w:ascii="Arial" w:cs="Arial" w:eastAsia="Arial" w:hAnsi="Arial"/>
      <w:b/>
      <w:bCs/>
      <w:color w:val="0A1628"/>
      <w:sz w:val="26"/>
      <w:szCs w:val="26"/>
    </w:rPr>
  </w:style>
  <w:style w:type="paragraph" w:styleId="Heading3">
    <w:name w:val="Heading 3"/>
    <w:basedOn w:val="Normal"/>
    <w:next w:val="Normal"/>
    <w:qFormat/>
    <w:pPr>
      <w:spacing w:before="240" w:after="120"/>
      <w:outlineLvl w:val="2"/>
    </w:pPr>
    <w:rPr>
      <w:rFonts w:ascii="Arial" w:cs="Arial" w:eastAsia="Arial" w:hAnsi="Arial"/>
      <w:b/>
      <w:bCs/>
      <w:color w:val="1F2937"/>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2026-04-04T01:31:50.124Z</dcterms:created>
  <dcterms:modified xsi:type="dcterms:W3CDTF">2026-04-04T01:31:50.125Z</dcterms:modified>
</cp:coreProperties>
</file>

<file path=docProps/custom.xml><?xml version="1.0" encoding="utf-8"?>
<Properties xmlns="http://schemas.openxmlformats.org/officeDocument/2006/custom-properties" xmlns:vt="http://schemas.openxmlformats.org/officeDocument/2006/docPropsVTypes"/>
</file>